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DF83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36"/>
          <w:sz w:val="24"/>
          <w:szCs w:val="24"/>
          <w:lang w:eastAsia="en-GB"/>
          <w14:ligatures w14:val="none"/>
        </w:rPr>
        <w:t>Billinge Parish Council</w:t>
      </w:r>
    </w:p>
    <w:p w14:paraId="6ECD6BC5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Annual Parish Meeting – Budget Monitoring Summary</w:t>
      </w:r>
    </w:p>
    <w:p w14:paraId="59AC53D5" w14:textId="6F01C2A9" w:rsidR="00050F9E" w:rsidRPr="00050F9E" w:rsidRDefault="00050F9E" w:rsidP="00050F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Financial Position as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of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30 April 2026</w:t>
      </w:r>
    </w:p>
    <w:p w14:paraId="4319088A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Council’s financial position at the end of April 2026 remains stable, with expenditure generally in line with expectations at this early stage of the financial year.</w:t>
      </w:r>
    </w:p>
    <w:p w14:paraId="32698122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Income</w:t>
      </w:r>
    </w:p>
    <w:p w14:paraId="148BB784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income received to 30 April 2026 was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£37,337.00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4F0C0557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Income received during the period includes:</w:t>
      </w:r>
    </w:p>
    <w:p w14:paraId="1B35B1E6" w14:textId="77777777" w:rsidR="00050F9E" w:rsidRPr="00050F9E" w:rsidRDefault="00050F9E" w:rsidP="0005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Precept (first instalment):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£33,582.33 </w:t>
      </w:r>
    </w:p>
    <w:p w14:paraId="75F68F7B" w14:textId="77777777" w:rsidR="00050F9E" w:rsidRPr="00050F9E" w:rsidRDefault="00050F9E" w:rsidP="0005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VAT Refund: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£2,527.67 </w:t>
      </w:r>
    </w:p>
    <w:p w14:paraId="0EEB541A" w14:textId="77777777" w:rsidR="00050F9E" w:rsidRPr="00050F9E" w:rsidRDefault="00050F9E" w:rsidP="0005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Hall Hire: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£227.00 </w:t>
      </w:r>
    </w:p>
    <w:p w14:paraId="75062B01" w14:textId="77777777" w:rsidR="00050F9E" w:rsidRPr="00050F9E" w:rsidRDefault="00050F9E" w:rsidP="0005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Miscellaneous Refunds: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£1,000.00 </w:t>
      </w:r>
    </w:p>
    <w:p w14:paraId="08ACC319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Council is still due to receive the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second half of the annual precept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later in the financial year.</w:t>
      </w:r>
    </w:p>
    <w:p w14:paraId="66C541C3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£6,000 income budget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relates to anticipated hall hire income for the year. Hall hire income at the end of April stands at £227.00 and is expected to increase as bookings continue throughout the year.</w:t>
      </w:r>
    </w:p>
    <w:p w14:paraId="3878D212" w14:textId="3195B4CC" w:rsidR="00050F9E" w:rsidRPr="00050F9E" w:rsidRDefault="00050F9E" w:rsidP="00050F9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E1FDC87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Expenditure</w:t>
      </w:r>
    </w:p>
    <w:p w14:paraId="775BCE4D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Total expenditure to 30 April 2026 was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£11,588.63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8066712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Staff Costs</w:t>
      </w:r>
    </w:p>
    <w:p w14:paraId="48ACE432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Staffing expenditure remains within expected levels:</w:t>
      </w:r>
    </w:p>
    <w:p w14:paraId="2BBB3705" w14:textId="77777777" w:rsidR="00050F9E" w:rsidRPr="00050F9E" w:rsidRDefault="00050F9E" w:rsidP="0005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Clerk: £1,718.81 </w:t>
      </w:r>
    </w:p>
    <w:p w14:paraId="483A8106" w14:textId="77777777" w:rsidR="00050F9E" w:rsidRPr="00050F9E" w:rsidRDefault="00050F9E" w:rsidP="0005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Cleaner: £656.20 </w:t>
      </w:r>
    </w:p>
    <w:p w14:paraId="0774A497" w14:textId="77777777" w:rsidR="00050F9E" w:rsidRPr="00050F9E" w:rsidRDefault="00050F9E" w:rsidP="0005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Employer NI/HMRC: £912.50 </w:t>
      </w:r>
    </w:p>
    <w:p w14:paraId="20DAED6E" w14:textId="77777777" w:rsidR="00050F9E" w:rsidRPr="00050F9E" w:rsidRDefault="00050F9E" w:rsidP="0005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Pension: £814.03 </w:t>
      </w:r>
    </w:p>
    <w:p w14:paraId="09D34DC3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Administration</w:t>
      </w:r>
    </w:p>
    <w:p w14:paraId="0A5AD92E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Current administration expenditure includes:</w:t>
      </w:r>
    </w:p>
    <w:p w14:paraId="5A4A7B0C" w14:textId="77777777" w:rsidR="00050F9E" w:rsidRPr="00050F9E" w:rsidRDefault="00050F9E" w:rsidP="0005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Telephone and internet: £22.30 </w:t>
      </w:r>
    </w:p>
    <w:p w14:paraId="765F642E" w14:textId="77777777" w:rsidR="00050F9E" w:rsidRPr="00050F9E" w:rsidRDefault="00050F9E" w:rsidP="0005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Conferences/training: £60.00 </w:t>
      </w:r>
    </w:p>
    <w:p w14:paraId="44933D56" w14:textId="77777777" w:rsidR="00050F9E" w:rsidRPr="00050F9E" w:rsidRDefault="00050F9E" w:rsidP="0005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lastRenderedPageBreak/>
        <w:t xml:space="preserve">Information Technology: £92.27 </w:t>
      </w:r>
    </w:p>
    <w:p w14:paraId="5FA4D333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Most remaining administration budgets have not yet been utilised at this point in the year.</w:t>
      </w:r>
    </w:p>
    <w:p w14:paraId="514725E4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Public Hall</w:t>
      </w:r>
    </w:p>
    <w:p w14:paraId="318577EB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Public hall expenditure includes:</w:t>
      </w:r>
    </w:p>
    <w:p w14:paraId="68562EE9" w14:textId="77777777" w:rsidR="00050F9E" w:rsidRPr="00050F9E" w:rsidRDefault="00050F9E" w:rsidP="00050F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Cleaning materials: £34.00 </w:t>
      </w:r>
    </w:p>
    <w:p w14:paraId="4D5297DB" w14:textId="77777777" w:rsidR="00050F9E" w:rsidRPr="00050F9E" w:rsidRDefault="00050F9E" w:rsidP="00050F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Water: £1,257.57 </w:t>
      </w:r>
    </w:p>
    <w:p w14:paraId="74988605" w14:textId="77777777" w:rsidR="00050F9E" w:rsidRPr="00050F9E" w:rsidRDefault="00050F9E" w:rsidP="00050F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Electricity and gas: £253.73 </w:t>
      </w:r>
    </w:p>
    <w:p w14:paraId="1A5A6960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water expenditure includes payment of both the outstanding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2025–2026 invoice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the </w:t>
      </w: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2026–2027 annual invoice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, both of which have now been paid in full. As a result, water costs for the remainder of the current financial year are expected to be minimal.</w:t>
      </w:r>
    </w:p>
    <w:p w14:paraId="19894F96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Other Expenditure</w:t>
      </w:r>
    </w:p>
    <w:p w14:paraId="43BEDA73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main area of higher expenditure relates to:</w:t>
      </w:r>
    </w:p>
    <w:p w14:paraId="0BCF4705" w14:textId="77777777" w:rsidR="00050F9E" w:rsidRPr="00050F9E" w:rsidRDefault="00050F9E" w:rsidP="00050F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Millennium Gardens maintenance: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£3,114.14 </w:t>
      </w:r>
    </w:p>
    <w:p w14:paraId="29E44B1B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Additional significant expenditure includes:</w:t>
      </w:r>
    </w:p>
    <w:p w14:paraId="36221ECE" w14:textId="77777777" w:rsidR="00050F9E" w:rsidRPr="00050F9E" w:rsidRDefault="00050F9E" w:rsidP="00050F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Millennium Garden PWLB Loan repayments: £2,013.08 </w:t>
      </w:r>
    </w:p>
    <w:p w14:paraId="56049010" w14:textId="77777777" w:rsidR="00050F9E" w:rsidRPr="00050F9E" w:rsidRDefault="00050F9E" w:rsidP="00050F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Parish improvements / PWLB Public Hall extension: £640.00 </w:t>
      </w:r>
    </w:p>
    <w:p w14:paraId="08179DBE" w14:textId="77777777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No expenditure had yet been incurred under Events, Section 137 grants, or several other budget headings.</w:t>
      </w:r>
    </w:p>
    <w:p w14:paraId="0D0B3308" w14:textId="5745C30F" w:rsidR="00050F9E" w:rsidRPr="00050F9E" w:rsidRDefault="00050F9E" w:rsidP="00050F9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</w:p>
    <w:p w14:paraId="01B16572" w14:textId="77777777" w:rsidR="00050F9E" w:rsidRPr="00050F9E" w:rsidRDefault="00050F9E" w:rsidP="00050F9E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>Overall Summary</w:t>
      </w:r>
    </w:p>
    <w:p w14:paraId="0D8D67FC" w14:textId="34291479" w:rsidR="00050F9E" w:rsidRPr="00050F9E" w:rsidRDefault="00050F9E" w:rsidP="00050F9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Council remains in a sound financial position at the end of April 2026. Income and expenditure are broadly in line with expectations for the beginning of the financial year, with 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most</w:t>
      </w:r>
      <w:r w:rsidRPr="00050F9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budget headings still at an early stage of expenditure. The Council will continue to monitor hall hire income and Millennium Gardens maintenance expenditure throughout the remainder of the year.</w:t>
      </w:r>
    </w:p>
    <w:p w14:paraId="3DC48E73" w14:textId="77777777" w:rsidR="00367B69" w:rsidRDefault="00367B69"/>
    <w:sectPr w:rsidR="00367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5BC6"/>
    <w:multiLevelType w:val="multilevel"/>
    <w:tmpl w:val="EA1C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91586"/>
    <w:multiLevelType w:val="multilevel"/>
    <w:tmpl w:val="BB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22A11"/>
    <w:multiLevelType w:val="multilevel"/>
    <w:tmpl w:val="22A0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021C8"/>
    <w:multiLevelType w:val="multilevel"/>
    <w:tmpl w:val="366C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C51AD"/>
    <w:multiLevelType w:val="multilevel"/>
    <w:tmpl w:val="5E3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F6755"/>
    <w:multiLevelType w:val="multilevel"/>
    <w:tmpl w:val="0C8A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136773">
    <w:abstractNumId w:val="4"/>
  </w:num>
  <w:num w:numId="2" w16cid:durableId="435947023">
    <w:abstractNumId w:val="3"/>
  </w:num>
  <w:num w:numId="3" w16cid:durableId="132253909">
    <w:abstractNumId w:val="2"/>
  </w:num>
  <w:num w:numId="4" w16cid:durableId="1572228324">
    <w:abstractNumId w:val="1"/>
  </w:num>
  <w:num w:numId="5" w16cid:durableId="1990748956">
    <w:abstractNumId w:val="0"/>
  </w:num>
  <w:num w:numId="6" w16cid:durableId="842935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9E"/>
    <w:rsid w:val="00050F9E"/>
    <w:rsid w:val="00367B69"/>
    <w:rsid w:val="003A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2FE84"/>
  <w15:chartTrackingRefBased/>
  <w15:docId w15:val="{F2AD3568-F693-403F-ACE9-39928F9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F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Billinge Parish Council</dc:creator>
  <cp:keywords/>
  <dc:description/>
  <cp:lastModifiedBy>Billinge Parish Council</cp:lastModifiedBy>
  <cp:revision>1</cp:revision>
  <dcterms:created xsi:type="dcterms:W3CDTF">2026-05-07T20:03:00Z</dcterms:created>
  <dcterms:modified xsi:type="dcterms:W3CDTF">2026-05-07T20:05:00Z</dcterms:modified>
</cp:coreProperties>
</file>